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>山西医科大学汾阳学院</w:t>
      </w:r>
    </w:p>
    <w:p>
      <w:pPr>
        <w:jc w:val="center"/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>2019-2020学年第二学期在线教学方案</w:t>
      </w:r>
    </w:p>
    <w:p>
      <w:pPr>
        <w:jc w:val="center"/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32"/>
          <w:szCs w:val="40"/>
          <w:lang w:val="en-US" w:eastAsia="zh-CN"/>
        </w:rPr>
        <w:t>（学生篇）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各年级学生：</w:t>
      </w:r>
    </w:p>
    <w:p>
      <w:pPr>
        <w:pStyle w:val="2"/>
        <w:jc w:val="left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为贯彻落实党中央、国务院关于新型冠状病毒感染肺炎疫情防控工作的部署，根据教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育部、省教育厅和学校关于疫情防控工作的最新要求，在做好疫情防控工作的基础上，及时转变学习方法，保障全校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学生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学程不断，完成学校特殊时期“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课堂停课程不停，开学迟学习不迟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”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学习任务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根据学校《关于在疫情防控延迟开学期间开展在线教学安排的通知》要求，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现将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有关教学方案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总体安排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（一）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学习方式</w:t>
      </w:r>
    </w:p>
    <w:p>
      <w:pPr>
        <w:ind w:firstLine="562" w:firstLineChars="200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 网络自主学习。</w:t>
      </w:r>
      <w:r>
        <w:rPr>
          <w:rFonts w:hint="eastAsia" w:ascii="仿宋" w:hAnsi="仿宋" w:eastAsia="仿宋" w:cs="仿宋"/>
          <w:sz w:val="28"/>
          <w:szCs w:val="36"/>
        </w:rPr>
        <w:t>大学英语、大学计算机、大学体育、医学英语、形势与政策、中国近现代史纲要、马克思主义基本原理概论、大学生安全教育课、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军事理论</w:t>
      </w:r>
      <w:r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  <w:t>、</w:t>
      </w:r>
      <w:r>
        <w:rPr>
          <w:rFonts w:hint="eastAsia" w:ascii="仿宋" w:hAnsi="仿宋" w:eastAsia="仿宋" w:cs="仿宋"/>
          <w:sz w:val="28"/>
          <w:szCs w:val="36"/>
          <w:highlight w:val="none"/>
        </w:rPr>
        <w:t>大</w:t>
      </w:r>
      <w:r>
        <w:rPr>
          <w:rFonts w:hint="eastAsia" w:ascii="仿宋" w:hAnsi="仿宋" w:eastAsia="仿宋" w:cs="仿宋"/>
          <w:sz w:val="28"/>
          <w:szCs w:val="36"/>
          <w:highlight w:val="none"/>
        </w:rPr>
        <w:t>学生</w:t>
      </w:r>
      <w:r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  <w:t>职业生涯规划与</w:t>
      </w:r>
      <w:r>
        <w:rPr>
          <w:rFonts w:hint="eastAsia" w:ascii="仿宋" w:hAnsi="仿宋" w:eastAsia="仿宋" w:cs="仿宋"/>
          <w:sz w:val="28"/>
          <w:szCs w:val="36"/>
          <w:highlight w:val="none"/>
        </w:rPr>
        <w:t>就业指导课、大学生创新能力与创业基础课程等</w:t>
      </w:r>
      <w:r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  <w:t>必修</w:t>
      </w:r>
      <w:r>
        <w:rPr>
          <w:rFonts w:hint="eastAsia" w:ascii="仿宋" w:hAnsi="仿宋" w:eastAsia="仿宋" w:cs="仿宋"/>
          <w:sz w:val="28"/>
          <w:szCs w:val="36"/>
          <w:highlight w:val="none"/>
        </w:rPr>
        <w:t>课程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均采用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平台慕课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资源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教学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，学生按照课程表登陆教学平台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或手机APP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自学，教师在线答疑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辅导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</w:p>
    <w:p>
      <w:pPr>
        <w:numPr>
          <w:numId w:val="0"/>
        </w:numPr>
        <w:ind w:firstLine="562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2. 混合式在线学习。教师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充分利用智慧树、中国大学慕课、超星尔雅、学堂在线（雨课堂）等网络教学平台的慕课资源（仅限于上述平台），</w:t>
      </w:r>
      <w:r>
        <w:rPr>
          <w:rFonts w:hint="eastAsia" w:ascii="仿宋" w:hAnsi="仿宋" w:eastAsia="仿宋" w:cs="仿宋"/>
          <w:sz w:val="28"/>
          <w:szCs w:val="28"/>
        </w:rPr>
        <w:t>以慕课、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混合式在线教学（慕课+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互动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）、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录播授课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（录制讲课视频或配语音解说的课件）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直播授课</w:t>
      </w:r>
      <w:r>
        <w:rPr>
          <w:rFonts w:hint="eastAsia" w:ascii="仿宋" w:hAnsi="仿宋" w:eastAsia="仿宋" w:cs="仿宋"/>
          <w:sz w:val="28"/>
          <w:szCs w:val="28"/>
        </w:rPr>
        <w:t>等现代网络教学形式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进行混合式教学，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同学们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登录智慧树网络平台或《知到》APP，通过本校教师在智慧树网络平台或知到—教师版APP（电脑发布任务和APP发布是相通的）发布的教学任务，查看并完成所有学习环节和学习任务。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）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成绩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考核</w:t>
      </w:r>
    </w:p>
    <w:p>
      <w:pPr>
        <w:ind w:firstLine="560" w:firstLineChars="200"/>
        <w:rPr>
          <w:rFonts w:hint="eastAsia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本学期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lang w:val="en-US" w:eastAsia="zh-CN"/>
        </w:rPr>
        <w:t>必修课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</w:rPr>
        <w:t>各门课程成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绩至少包含三个方面：一是在线学习的表现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和考核成绩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；二是线下课堂教学环节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指返校后课堂教学考核结果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；三是期末考核，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指终结考核，待返校后择期考试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具体以各课程老师发布的考核要求为准。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default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学习环境与说明</w:t>
      </w:r>
    </w:p>
    <w:p>
      <w:pPr>
        <w:numPr>
          <w:ilvl w:val="0"/>
          <w:numId w:val="2"/>
        </w:numPr>
        <w:ind w:firstLine="562" w:firstLineChars="20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学习环境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学生</w:t>
      </w:r>
      <w:r>
        <w:rPr>
          <w:rFonts w:hint="eastAsia" w:ascii="仿宋" w:hAnsi="仿宋" w:eastAsia="仿宋" w:cs="仿宋"/>
          <w:sz w:val="28"/>
          <w:szCs w:val="28"/>
        </w:rPr>
        <w:t>需提前准备好智能手机或电脑（可上网）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在自己家中寻找安静的、有网络的环境进行在线学习。</w:t>
      </w:r>
    </w:p>
    <w:p>
      <w:pPr>
        <w:numPr>
          <w:ilvl w:val="0"/>
          <w:numId w:val="2"/>
        </w:numPr>
        <w:ind w:firstLine="562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学习流程说明</w:t>
      </w:r>
    </w:p>
    <w:p>
      <w:pPr>
        <w:numPr>
          <w:ilvl w:val="0"/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1. 查看课程学习方式：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根据附件1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《2019-2020学年第二学期课程网络学习方式一览表》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了解应修课程的网络学习方式。</w:t>
      </w:r>
    </w:p>
    <w:p>
      <w:pPr>
        <w:pStyle w:val="7"/>
        <w:numPr>
          <w:numId w:val="0"/>
        </w:num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2. 查看学习通知和公告：登陆智慧树网或《知到》APP，及时查看课程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老师发布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通知信息和学习公告，根据老师发布的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班级邀请码或二维码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及时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加入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对应课程在线学习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班级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，及时了解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课程的在线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学习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安排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作业测验、考核要求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及师生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网络教学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互动时间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等。</w:t>
      </w:r>
    </w:p>
    <w:p>
      <w:pPr>
        <w:pStyle w:val="7"/>
        <w:numPr>
          <w:ilvl w:val="0"/>
          <w:numId w:val="0"/>
        </w:numPr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3. 在线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学习：根据在线学习形式和时间，登录老师指定的慕课平台完成对应课程的在线学习（慕课自主学习、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教师自建录播课程学习、教师直播授课学习）。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参加师生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</w:rPr>
        <w:t>直播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互动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</w:rPr>
        <w:t>课程，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须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</w:rPr>
        <w:t>提前10分钟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登录，并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</w:rPr>
        <w:t>进行直播测试。</w:t>
      </w:r>
    </w:p>
    <w:p>
      <w:pPr>
        <w:pStyle w:val="7"/>
        <w:numPr>
          <w:numId w:val="0"/>
        </w:numPr>
        <w:ind w:firstLine="560" w:firstLineChars="200"/>
        <w:jc w:val="left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4. 教学互动：登陆智慧树网或《知到》APP，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按照通知公告，完成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</w:rPr>
        <w:t>在线学习期间的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预习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</w:rPr>
        <w:t>、作业、测验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互动答疑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</w:rPr>
        <w:t>等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b w:val="0"/>
          <w:bCs/>
          <w:sz w:val="28"/>
          <w:szCs w:val="28"/>
          <w:highlight w:val="none"/>
          <w:lang w:val="en-US" w:eastAsia="zh-CN"/>
        </w:rPr>
        <w:t>在线学习数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据和互动情况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均会纳入平时成绩。</w:t>
      </w:r>
    </w:p>
    <w:p>
      <w:pPr>
        <w:numPr>
          <w:ilvl w:val="0"/>
          <w:numId w:val="2"/>
        </w:numPr>
        <w:ind w:firstLine="562" w:firstLineChars="200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在线学习注意事项</w:t>
      </w:r>
    </w:p>
    <w:p>
      <w:pPr>
        <w:numPr>
          <w:ilvl w:val="0"/>
          <w:numId w:val="0"/>
        </w:numPr>
        <w:ind w:firstLine="560" w:firstLineChars="200"/>
        <w:rPr>
          <w:rFonts w:hint="default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>1. 在课程学习之前，各任课教师要提前线上组建课程，并组成班级，学生须及时登录，提前检查是否进入各课程相应班级，如出现不在班级或个人信息有误的情况，须及时与课程负责教师联系更改。</w:t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 xml:space="preserve">    2. 学生须按时完成在线签到、学习、作业、互动、测验等环节，否则会影响学习成绩。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default" w:ascii="黑体" w:hAnsi="黑体" w:eastAsia="黑体" w:cs="黑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各教学平台管理与技术支持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（一）各教学平台管理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各位同学在学习各教学平台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在线教学学生操作说明基础上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，还可以借助各教学平台发布的有关操作说明、示范教学视频学习平台使用办法，仍有问题时可以利用教师服务QQ群、微信群、在线服务等方式提供技术服务远程协助，各平台将及时针对在线教学中遇到的问题开展教学服务，随时为教师和学生解答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（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）各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在线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教学平台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1、智慧树（https:www.zhihuishu.com），联系人：王老师（联系方式18636602986）。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2、学堂在线（雨课堂）（https://next.xuetangx.com），联系人：马老师（联系方式13934144332）。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3、中国大学慕课（爱课程）（https://www.icourse163.org），联系人：高老师（联系方式18603466476）。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4、超星尔雅（（网址：http://erya.mooc.chaoxing.com/），联系人：张老师（联系方式18612082083）。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1119" w:leftChars="266" w:hanging="560" w:hangingChars="200"/>
        <w:jc w:val="left"/>
        <w:textAlignment w:val="auto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山西高校精品共享课程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http://jooc.fanya.chaoxing.com）</w:t>
      </w:r>
    </w:p>
    <w:p>
      <w:pPr>
        <w:ind w:left="1121" w:leftChars="266" w:hanging="562" w:hangingChars="200"/>
        <w:jc w:val="left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智慧树平台技术咨询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QQ群号（各班级学委班长入群）：746866567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2" w:firstLineChars="200"/>
        <w:textAlignment w:val="auto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教务处联系人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非临床医学类专业教学联系人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周婧婧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（电话：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18434161598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）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;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临床医学类专业教学联系人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 崔建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（电话：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13293917055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）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。</w:t>
      </w:r>
    </w:p>
    <w:p>
      <w:pPr>
        <w:widowControl w:val="0"/>
        <w:numPr>
          <w:ilvl w:val="0"/>
          <w:numId w:val="0"/>
        </w:numPr>
        <w:ind w:left="1959" w:leftChars="266" w:hanging="1400" w:hangingChars="5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附件：1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. 《2019-2020学年第二学期课程网络学习方式一览表》（随后发布）</w:t>
      </w:r>
    </w:p>
    <w:p>
      <w:pPr>
        <w:ind w:firstLine="560"/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2</w:t>
      </w:r>
      <w:r>
        <w:rPr>
          <w:rFonts w:hint="eastAsia" w:ascii="仿宋" w:hAnsi="仿宋" w:eastAsia="仿宋" w:cs="仿宋"/>
          <w:b w:val="0"/>
          <w:kern w:val="2"/>
          <w:sz w:val="28"/>
          <w:szCs w:val="28"/>
          <w:lang w:val="en-US" w:eastAsia="zh-CN" w:bidi="ar-SA"/>
        </w:rPr>
        <w:t xml:space="preserve">.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各平台在线教学学生操作说明.Zip</w:t>
      </w:r>
    </w:p>
    <w:p>
      <w:pPr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jc w:val="both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iti SC Light">
    <w:altName w:val="Microsoft YaHei UI Light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 Light">
    <w:panose1 w:val="020B0502040204020203"/>
    <w:charset w:val="50"/>
    <w:family w:val="auto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D20086"/>
    <w:multiLevelType w:val="singleLevel"/>
    <w:tmpl w:val="F9D2008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B17594C"/>
    <w:multiLevelType w:val="singleLevel"/>
    <w:tmpl w:val="3B1759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F3"/>
    <w:rsid w:val="00007FC3"/>
    <w:rsid w:val="00017C34"/>
    <w:rsid w:val="000320D9"/>
    <w:rsid w:val="000C2D09"/>
    <w:rsid w:val="000E13E0"/>
    <w:rsid w:val="001321F9"/>
    <w:rsid w:val="00151D64"/>
    <w:rsid w:val="00205D88"/>
    <w:rsid w:val="0030517C"/>
    <w:rsid w:val="00326C89"/>
    <w:rsid w:val="003A540B"/>
    <w:rsid w:val="003B0B8B"/>
    <w:rsid w:val="005225A6"/>
    <w:rsid w:val="0056646B"/>
    <w:rsid w:val="005674BD"/>
    <w:rsid w:val="00571EB8"/>
    <w:rsid w:val="005D5E20"/>
    <w:rsid w:val="00651161"/>
    <w:rsid w:val="006C196F"/>
    <w:rsid w:val="007A045A"/>
    <w:rsid w:val="0096604B"/>
    <w:rsid w:val="00967CBF"/>
    <w:rsid w:val="0097652B"/>
    <w:rsid w:val="009A4D5F"/>
    <w:rsid w:val="009A66F3"/>
    <w:rsid w:val="009D191E"/>
    <w:rsid w:val="009D7E4B"/>
    <w:rsid w:val="00A632B1"/>
    <w:rsid w:val="00A67389"/>
    <w:rsid w:val="00AF4B00"/>
    <w:rsid w:val="00B07C05"/>
    <w:rsid w:val="00B7488A"/>
    <w:rsid w:val="00B76CCD"/>
    <w:rsid w:val="00BA23AB"/>
    <w:rsid w:val="00C21638"/>
    <w:rsid w:val="00C56C98"/>
    <w:rsid w:val="00CD023B"/>
    <w:rsid w:val="00CE1675"/>
    <w:rsid w:val="00CF632F"/>
    <w:rsid w:val="00DD292C"/>
    <w:rsid w:val="00E3708D"/>
    <w:rsid w:val="00E372F6"/>
    <w:rsid w:val="00EC2B8F"/>
    <w:rsid w:val="00F5468B"/>
    <w:rsid w:val="00F56E71"/>
    <w:rsid w:val="00FA23E0"/>
    <w:rsid w:val="0323696B"/>
    <w:rsid w:val="03486A3A"/>
    <w:rsid w:val="05193E7C"/>
    <w:rsid w:val="05E03B68"/>
    <w:rsid w:val="0CDD425C"/>
    <w:rsid w:val="0E880D6B"/>
    <w:rsid w:val="0F464BD9"/>
    <w:rsid w:val="17B10CBF"/>
    <w:rsid w:val="19BC0BD9"/>
    <w:rsid w:val="1E835F8A"/>
    <w:rsid w:val="245F6199"/>
    <w:rsid w:val="273D2529"/>
    <w:rsid w:val="28613A98"/>
    <w:rsid w:val="2ABF4C74"/>
    <w:rsid w:val="2B493E1D"/>
    <w:rsid w:val="30ED2434"/>
    <w:rsid w:val="33E72C4E"/>
    <w:rsid w:val="35A81337"/>
    <w:rsid w:val="3BCC5011"/>
    <w:rsid w:val="3D8E5892"/>
    <w:rsid w:val="41673A39"/>
    <w:rsid w:val="43035CA5"/>
    <w:rsid w:val="432613DC"/>
    <w:rsid w:val="458D3BFD"/>
    <w:rsid w:val="4A1C7D4C"/>
    <w:rsid w:val="4D93585E"/>
    <w:rsid w:val="4F5D28E6"/>
    <w:rsid w:val="50D90169"/>
    <w:rsid w:val="51620291"/>
    <w:rsid w:val="5C6B7B50"/>
    <w:rsid w:val="5D430B67"/>
    <w:rsid w:val="5F16395F"/>
    <w:rsid w:val="5FE97F62"/>
    <w:rsid w:val="60B16389"/>
    <w:rsid w:val="60C31A00"/>
    <w:rsid w:val="60CF0AF1"/>
    <w:rsid w:val="619135A3"/>
    <w:rsid w:val="6338224F"/>
    <w:rsid w:val="650678B9"/>
    <w:rsid w:val="6C161871"/>
    <w:rsid w:val="6C166518"/>
    <w:rsid w:val="6FBE23EC"/>
    <w:rsid w:val="707746E0"/>
    <w:rsid w:val="733143B4"/>
    <w:rsid w:val="73662241"/>
    <w:rsid w:val="792A47E5"/>
    <w:rsid w:val="7A6949A8"/>
    <w:rsid w:val="7D33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Balloon Text"/>
    <w:basedOn w:val="1"/>
    <w:link w:val="8"/>
    <w:semiHidden/>
    <w:unhideWhenUsed/>
    <w:qFormat/>
    <w:uiPriority w:val="99"/>
    <w:rPr>
      <w:rFonts w:ascii="Heiti SC Light" w:eastAsia="Heiti SC Light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字符"/>
    <w:basedOn w:val="5"/>
    <w:link w:val="3"/>
    <w:semiHidden/>
    <w:qFormat/>
    <w:uiPriority w:val="99"/>
    <w:rPr>
      <w:rFonts w:ascii="Heiti SC Light" w:eastAsia="Heiti SC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293</Words>
  <Characters>1672</Characters>
  <Lines>13</Lines>
  <Paragraphs>3</Paragraphs>
  <TotalTime>3</TotalTime>
  <ScaleCrop>false</ScaleCrop>
  <LinksUpToDate>false</LinksUpToDate>
  <CharactersWithSpaces>1962</CharactersWithSpaces>
  <Application>WPS Office_11.1.0.9339_F1E327BC-269C-435d-A152-05C5408002CA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2020-01-29T10:37:00Z</dcterms:created>
  <dc:creator>zhao yuxia</dc:creator>
  <cp:lastModifiedBy>Administrator</cp:lastModifiedBy>
  <dcterms:modified xsi:type="dcterms:W3CDTF">2020-02-13T04:45:32Z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